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765A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bookmarkStart w:id="0" w:name="_GoBack"/>
      <w:bookmarkEnd w:id="0"/>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A765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B5832FD"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w:t>
      </w:r>
      <w:proofErr w:type="spellStart"/>
      <w:r w:rsidRPr="00121681">
        <w:rPr>
          <w:rFonts w:ascii="Arial" w:hAnsi="Arial" w:cs="Arial"/>
          <w:sz w:val="20"/>
          <w:szCs w:val="20"/>
        </w:rPr>
        <w:t>Cuitzeo</w:t>
      </w:r>
      <w:proofErr w:type="spellEnd"/>
      <w:r w:rsidRPr="00121681">
        <w:rPr>
          <w:rFonts w:ascii="Arial" w:hAnsi="Arial" w:cs="Arial"/>
          <w:sz w:val="20"/>
          <w:szCs w:val="20"/>
        </w:rPr>
        <w:t>.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11A8F791"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C19904B"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En el año de 2008 se elaboró un Manual de Organización de todas las dependencias que integran la Administración Municipal de Valle de Santiago, </w:t>
      </w:r>
      <w:proofErr w:type="spellStart"/>
      <w:r w:rsidRPr="00121681">
        <w:rPr>
          <w:rFonts w:ascii="Arial" w:hAnsi="Arial" w:cs="Arial"/>
          <w:sz w:val="20"/>
          <w:szCs w:val="20"/>
        </w:rPr>
        <w:t>Gto</w:t>
      </w:r>
      <w:proofErr w:type="spellEnd"/>
      <w:r w:rsidRPr="00121681">
        <w:rPr>
          <w:rFonts w:ascii="Arial" w:hAnsi="Arial" w:cs="Arial"/>
          <w:sz w:val="20"/>
          <w:szCs w:val="20"/>
        </w:rPr>
        <w:t>., el cual fue aprobado en Sesión de Ayuntamiento del 22 de mayo de 2008, según consta en Acta de Sesión Ordinaria Número 40.</w:t>
      </w:r>
    </w:p>
    <w:p w14:paraId="1BC158DA"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2015 se elaboró un nuevo manual de todas las dependencias que integran la administración municipal el cual fue aprobado en sesión de ayuntamiento el 5 de octubre del 2015 en sesión número 73.</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C68BB80" w14:textId="272D6E15" w:rsidR="00B668DB" w:rsidRDefault="00B668DB" w:rsidP="00B668DB">
      <w:pPr>
        <w:rPr>
          <w:rFonts w:ascii="Arial" w:hAnsi="Arial" w:cs="Arial"/>
          <w:sz w:val="20"/>
          <w:szCs w:val="20"/>
        </w:rPr>
      </w:pPr>
      <w:r w:rsidRPr="00121681">
        <w:rPr>
          <w:rFonts w:ascii="Arial" w:hAnsi="Arial" w:cs="Arial"/>
          <w:sz w:val="20"/>
          <w:szCs w:val="20"/>
        </w:rPr>
        <w:t xml:space="preserve">Para la operación correspondiente del ejercicio fiscal de 2025 se aprobó por el ayuntamiento el Presupuesto General del Municipio de Valle de Santiago en la sesión ordinaria celebrada el 16 de diciembre de 2024 documento que contiene presupuesto de ingresos, presupuesto de egresos tabulador de sueldos y salarios, así como la plantilla del personal. </w:t>
      </w:r>
    </w:p>
    <w:p w14:paraId="4E7056A6" w14:textId="77777777" w:rsidR="00B668DB"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Cabe mencionar que dicho documento aprobado contiene de manera detallada como el ente público destina el recurso en sus diferentes capítulos de gasto. Manifestando que todo el recurso erogado se encuentra aprobado.</w:t>
      </w:r>
    </w:p>
    <w:p w14:paraId="14E4F300" w14:textId="77777777" w:rsidR="00B668DB" w:rsidRPr="00121681" w:rsidRDefault="00B668DB" w:rsidP="00B668DB">
      <w:pPr>
        <w:rPr>
          <w:rFonts w:ascii="Arial" w:hAnsi="Arial" w:cs="Arial"/>
          <w:sz w:val="20"/>
          <w:szCs w:val="20"/>
        </w:rPr>
      </w:pP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4D3B4C8"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 xml:space="preserve">Gobernar el municipio de Valle de Santiago, de forma eficiente impulsando el desarrollo y bienestar de las familias, con servicios públicos de calidad, una infraestructura funcional, que promueva la participación ciudadana, para mejorar la calidad de vida de las y los </w:t>
      </w:r>
      <w:proofErr w:type="spellStart"/>
      <w:r w:rsidRPr="00121681">
        <w:rPr>
          <w:rFonts w:ascii="Arial" w:hAnsi="Arial" w:cs="Arial"/>
          <w:sz w:val="20"/>
          <w:szCs w:val="20"/>
        </w:rPr>
        <w:t>vallenses</w:t>
      </w:r>
      <w:proofErr w:type="spellEnd"/>
      <w:r w:rsidRPr="00121681">
        <w:rPr>
          <w:rFonts w:ascii="Arial" w:hAnsi="Arial" w:cs="Arial"/>
          <w:sz w:val="20"/>
          <w:szCs w:val="20"/>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47F798FB" w:rsidR="007D1E76" w:rsidRPr="00B668DB" w:rsidRDefault="00B668DB"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50ADBC0" w:rsidR="007D1E76" w:rsidRPr="00B668DB" w:rsidRDefault="00B668DB"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Enero a 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98B0B8D"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E22E765"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w:t>
      </w:r>
      <w:proofErr w:type="gramStart"/>
      <w:r w:rsidRPr="00121681">
        <w:rPr>
          <w:rFonts w:ascii="Arial" w:hAnsi="Arial" w:cs="Arial"/>
          <w:sz w:val="20"/>
          <w:szCs w:val="20"/>
        </w:rPr>
        <w:t>confianza</w:t>
      </w:r>
      <w:proofErr w:type="gramEnd"/>
      <w:r w:rsidRPr="00121681">
        <w:rPr>
          <w:rFonts w:ascii="Arial" w:hAnsi="Arial" w:cs="Arial"/>
          <w:sz w:val="20"/>
          <w:szCs w:val="20"/>
        </w:rPr>
        <w:t xml:space="preserve"> así como por arrendamiento</w:t>
      </w:r>
      <w:r>
        <w:rPr>
          <w:rFonts w:ascii="Arial" w:hAnsi="Arial" w:cs="Arial"/>
          <w:sz w:val="20"/>
          <w:szCs w:val="20"/>
        </w:rPr>
        <w: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7F088B80" w:rsidR="00CB41C4" w:rsidRDefault="0013392D"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5DCB25A" wp14:editId="7EB2DC1E">
            <wp:extent cx="6048286" cy="204825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anigrama 2024-2027_DIR_DEP_A - Page 1 (12) (1)_page-0001.jpg"/>
                    <pic:cNvPicPr/>
                  </pic:nvPicPr>
                  <pic:blipFill rotWithShape="1">
                    <a:blip r:embed="rId12" cstate="print">
                      <a:extLst>
                        <a:ext uri="{28A0092B-C50C-407E-A947-70E740481C1C}">
                          <a14:useLocalDpi xmlns:a14="http://schemas.microsoft.com/office/drawing/2010/main" val="0"/>
                        </a:ext>
                      </a:extLst>
                    </a:blip>
                    <a:srcRect l="8313" r="1477"/>
                    <a:stretch/>
                  </pic:blipFill>
                  <pic:spPr bwMode="auto">
                    <a:xfrm>
                      <a:off x="0" y="0"/>
                      <a:ext cx="6072915" cy="2056597"/>
                    </a:xfrm>
                    <a:prstGeom prst="rect">
                      <a:avLst/>
                    </a:prstGeom>
                    <a:ln>
                      <a:noFill/>
                    </a:ln>
                    <a:extLst>
                      <a:ext uri="{53640926-AAD7-44D8-BBD7-CCE9431645EC}">
                        <a14:shadowObscured xmlns:a14="http://schemas.microsoft.com/office/drawing/2010/main"/>
                      </a:ext>
                    </a:extLst>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496CBB3" w:rsidR="007D1E76" w:rsidRDefault="0013392D" w:rsidP="00CB41C4">
      <w:pPr>
        <w:tabs>
          <w:tab w:val="left" w:leader="underscore" w:pos="9639"/>
        </w:tabs>
        <w:spacing w:after="0" w:line="240" w:lineRule="auto"/>
        <w:jc w:val="both"/>
        <w:rPr>
          <w:rFonts w:cs="Calibri"/>
        </w:rPr>
      </w:pPr>
      <w:r>
        <w:rPr>
          <w:rFonts w:cs="Calibri"/>
        </w:rPr>
        <w:t>No aplica. Ya que el municipio no cuenta con fideicomisos vigentes.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3CD4E3D"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214F3DD" w14:textId="77777777" w:rsidR="0013392D" w:rsidRPr="009518A0" w:rsidRDefault="0013392D" w:rsidP="0013392D">
      <w:pPr>
        <w:tabs>
          <w:tab w:val="left" w:leader="underscore" w:pos="9639"/>
        </w:tabs>
        <w:spacing w:after="0" w:line="240" w:lineRule="auto"/>
        <w:jc w:val="both"/>
        <w:rPr>
          <w:rFonts w:cs="Calibri"/>
        </w:rPr>
      </w:pPr>
      <w:r w:rsidRPr="009518A0">
        <w:rPr>
          <w:rFonts w:cs="Calibri"/>
        </w:rPr>
        <w:t>La normatividad aplicada corresponde principalmente a los Postulados Básicos de Contabilidad Gubernamental, en especial el postulado de Valuación, el cual establece que todos los eventos que afecten económicamente al ente público deben ser cuantificados en términos monetarios, registrándose al costo histórico o al valor económico más objetivo, y expresados en moneda nacional.</w:t>
      </w:r>
    </w:p>
    <w:p w14:paraId="2DCF252C" w14:textId="4F32FE70" w:rsidR="007D1E76" w:rsidRDefault="007D1E76" w:rsidP="00CB41C4">
      <w:pPr>
        <w:tabs>
          <w:tab w:val="left" w:leader="underscore" w:pos="9639"/>
        </w:tabs>
        <w:spacing w:after="0" w:line="240" w:lineRule="auto"/>
        <w:jc w:val="both"/>
        <w:rPr>
          <w:rFonts w:cs="Calibri"/>
        </w:rPr>
      </w:pPr>
    </w:p>
    <w:p w14:paraId="54CBA2E0" w14:textId="77777777" w:rsidR="0013392D" w:rsidRDefault="0013392D" w:rsidP="0013392D">
      <w:pPr>
        <w:tabs>
          <w:tab w:val="left" w:leader="underscore" w:pos="9639"/>
        </w:tabs>
        <w:spacing w:after="0" w:line="240" w:lineRule="auto"/>
        <w:jc w:val="both"/>
        <w:rPr>
          <w:rFonts w:cs="Calibri"/>
        </w:rPr>
      </w:pPr>
      <w:r w:rsidRPr="009518A0">
        <w:rPr>
          <w:rFonts w:cs="Calibri"/>
        </w:rPr>
        <w:t>Asimismo, se consideran todas las disposiciones emitidas por el Consejo Nacional de Armonización Contable (CONAC). Es importante señalar que, como ente público, nos apegamos estrictamente a la legislación vigente en la materia y nos mantenemos actualizados conforme a las reformas y lineamientos aplicables.</w:t>
      </w:r>
    </w:p>
    <w:p w14:paraId="7257DD96" w14:textId="77777777" w:rsidR="0013392D" w:rsidRPr="00E74967" w:rsidRDefault="0013392D"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F11AFEF" w14:textId="1175356F" w:rsidR="0013392D" w:rsidRPr="0013392D" w:rsidRDefault="0013392D" w:rsidP="0013392D">
      <w:pPr>
        <w:tabs>
          <w:tab w:val="left" w:leader="underscore" w:pos="9639"/>
        </w:tabs>
        <w:spacing w:after="0" w:line="240" w:lineRule="auto"/>
        <w:jc w:val="both"/>
        <w:rPr>
          <w:rFonts w:cs="Calibri"/>
        </w:rPr>
      </w:pPr>
      <w:r w:rsidRPr="0013392D">
        <w:rPr>
          <w:rFonts w:cs="Calibri"/>
        </w:rPr>
        <w:t>Sustancia Económica</w:t>
      </w:r>
    </w:p>
    <w:p w14:paraId="34972DEE"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Ente Público</w:t>
      </w:r>
    </w:p>
    <w:p w14:paraId="26C9CF97"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Existencia Permanente</w:t>
      </w:r>
    </w:p>
    <w:p w14:paraId="272D9C50"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Importancia Relativa</w:t>
      </w:r>
    </w:p>
    <w:p w14:paraId="1BD27558"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Período Contable</w:t>
      </w:r>
    </w:p>
    <w:p w14:paraId="73EC60FF"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 xml:space="preserve">Registro e Integración Presupuestaria </w:t>
      </w:r>
    </w:p>
    <w:p w14:paraId="4E520109"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 xml:space="preserve">Consolidación de la Información Financiera </w:t>
      </w:r>
    </w:p>
    <w:p w14:paraId="3AFE8D69"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Devengado Contable</w:t>
      </w:r>
    </w:p>
    <w:p w14:paraId="5283D880"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Valuación</w:t>
      </w:r>
    </w:p>
    <w:p w14:paraId="27157ACC"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Dualidad Económica</w:t>
      </w:r>
    </w:p>
    <w:p w14:paraId="1CC2D59E" w14:textId="65A031ED" w:rsidR="007D1E76" w:rsidRDefault="0013392D" w:rsidP="0013392D">
      <w:pPr>
        <w:tabs>
          <w:tab w:val="left" w:leader="underscore" w:pos="9639"/>
        </w:tabs>
        <w:spacing w:after="0" w:line="240" w:lineRule="auto"/>
        <w:jc w:val="both"/>
        <w:rPr>
          <w:rFonts w:cs="Calibri"/>
        </w:rPr>
      </w:pPr>
      <w:r w:rsidRPr="0013392D">
        <w:rPr>
          <w:rFonts w:cs="Calibri"/>
        </w:rPr>
        <w:t>Consistencia</w:t>
      </w:r>
    </w:p>
    <w:p w14:paraId="4DA84F34" w14:textId="77777777" w:rsidR="0013392D" w:rsidRPr="00E74967" w:rsidRDefault="0013392D" w:rsidP="0013392D">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CE866F9"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Municipal, Reglamentación Municipal, Ley de Disciplina Financiera de las Entidades Federativas y los Municipios.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53CA4B"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68CF5993" w14:textId="23042031"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290341F"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No aplica,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559FC65"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3A51EDB"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76390FE4" w14:textId="7C09EBB9"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04502FF" w:rsidR="007D1E76" w:rsidRDefault="0013392D"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registran a valor histórico y han existido actualizaciones.</w:t>
      </w:r>
    </w:p>
    <w:p w14:paraId="2290E946" w14:textId="77777777" w:rsidR="0013392D" w:rsidRPr="00E74967" w:rsidRDefault="0013392D"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9957B41"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2D1472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7219D3C"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el Municipio no maneja inventarios de mercancía, no se tiene sistema.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4E1A2C7"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DEDD81A"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color w:val="000000" w:themeColor="text1"/>
          <w:sz w:val="20"/>
          <w:szCs w:val="20"/>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AAD1AA"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06659D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1CF9D89"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procede a realizar las reclasificaciones de las cuentas afectadas por errores contables, o por los cambios en las políticas contables.</w:t>
      </w:r>
    </w:p>
    <w:p w14:paraId="74DB6B48" w14:textId="77777777" w:rsidR="0013392D" w:rsidRPr="00E74967" w:rsidRDefault="0013392D" w:rsidP="0013392D">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12D37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realiza al final de cada mes y ejercicio un análisis de los saldos de las cuentas contables para poder efectuar la depuración y en su caso la cancelación de saldos, tomado entre otros aspectos, la antigüedad y veracidad del saldo.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BD4D6A8" w14:textId="77777777" w:rsidR="004B5B27"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activos</w:t>
      </w:r>
      <w:r>
        <w:rPr>
          <w:rFonts w:ascii="Arial" w:hAnsi="Arial" w:cs="Arial"/>
          <w:sz w:val="20"/>
          <w:szCs w:val="20"/>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6FC0C751" w:rsidR="007D1E76" w:rsidRDefault="004B5B27"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pasivos.</w:t>
      </w:r>
    </w:p>
    <w:p w14:paraId="51AB6C3B" w14:textId="77777777" w:rsidR="004B5B27" w:rsidRPr="00E74967" w:rsidRDefault="004B5B27"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52433E6"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680074D" w:rsidR="007D1E76" w:rsidRPr="004B5B27" w:rsidRDefault="004B5B27" w:rsidP="004B5B27">
      <w:pPr>
        <w:spacing w:line="240" w:lineRule="auto"/>
        <w:jc w:val="both"/>
        <w:rPr>
          <w:rFonts w:ascii="Arial" w:hAnsi="Arial" w:cs="Arial"/>
          <w:sz w:val="20"/>
          <w:szCs w:val="20"/>
        </w:rPr>
      </w:pPr>
      <w:r w:rsidRPr="00121681">
        <w:rPr>
          <w:rFonts w:ascii="Arial" w:hAnsi="Arial" w:cs="Arial"/>
          <w:sz w:val="20"/>
          <w:szCs w:val="20"/>
        </w:rPr>
        <w:t>Al no tener operaciones en moneda extranjera, no se maneja tipo de cambio.</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516F06F"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797C0000"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en el mes de diciembre de cada ejercicio fiscal 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3F7161D"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La Secretaria de Finanzas Inversión y Administración realiza este movimiento.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EF8B7A8" w14:textId="77777777" w:rsidR="004B5B27" w:rsidRPr="00121681" w:rsidRDefault="004B5B27" w:rsidP="004B5B27">
      <w:pPr>
        <w:spacing w:after="0" w:line="240" w:lineRule="auto"/>
        <w:jc w:val="both"/>
        <w:rPr>
          <w:rFonts w:ascii="Arial" w:hAnsi="Arial" w:cs="Arial"/>
          <w:sz w:val="20"/>
          <w:szCs w:val="20"/>
        </w:rPr>
      </w:pPr>
      <w:r w:rsidRPr="00121681">
        <w:rPr>
          <w:rFonts w:ascii="Arial" w:hAnsi="Arial" w:cs="Arial"/>
          <w:sz w:val="20"/>
          <w:szCs w:val="20"/>
        </w:rPr>
        <w:t>Al momento no existen gastos capitalizados en el ejercicio.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F94A12"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tiene inversiones financieras en moneda nacional en valores de renta fija, por lo tanto, no se tienen riesgos por el tipo de cambio o por el tipo de interés.</w:t>
      </w:r>
    </w:p>
    <w:p w14:paraId="11EBA774" w14:textId="0654CAEB" w:rsidR="007D1E76" w:rsidRPr="00E74967" w:rsidRDefault="007D1E76" w:rsidP="00CB41C4">
      <w:pPr>
        <w:tabs>
          <w:tab w:val="left" w:leader="underscore" w:pos="9639"/>
        </w:tabs>
        <w:spacing w:after="0" w:line="240" w:lineRule="auto"/>
        <w:jc w:val="both"/>
        <w:rPr>
          <w:rFonts w:cs="Calibri"/>
        </w:rPr>
      </w:pP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83DB99C"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Durante el periodo no se ha realizado valor activado de los bienes construidos.</w:t>
      </w:r>
    </w:p>
    <w:p w14:paraId="6569FCE5" w14:textId="274EE1EB"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4DF5F5"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 la fecha no se han presentado este tipo de circunstancias.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DDC185"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lo que va del presente ejercicio no se ha llevado a cabo ningún desmantelamiento de activos</w:t>
      </w:r>
    </w:p>
    <w:p w14:paraId="65D20F94" w14:textId="08B6837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45592A8"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E6C7FEF" w:rsidR="007D1E76" w:rsidRDefault="00DA05EA" w:rsidP="00CB41C4">
      <w:pPr>
        <w:tabs>
          <w:tab w:val="left" w:leader="underscore" w:pos="9639"/>
        </w:tabs>
        <w:spacing w:after="0" w:line="240" w:lineRule="auto"/>
        <w:jc w:val="both"/>
        <w:rPr>
          <w:rFonts w:cs="Calibri"/>
        </w:rPr>
      </w:pPr>
      <w:r w:rsidRPr="00DA05EA">
        <w:rPr>
          <w:rFonts w:cs="Calibri"/>
        </w:rPr>
        <w:t>13</w:t>
      </w:r>
      <w:r>
        <w:rPr>
          <w:rFonts w:cs="Calibri"/>
        </w:rPr>
        <w:t>,</w:t>
      </w:r>
      <w:r w:rsidRPr="00DA05EA">
        <w:rPr>
          <w:rFonts w:cs="Calibri"/>
        </w:rPr>
        <w:t>440</w:t>
      </w:r>
      <w:r>
        <w:rPr>
          <w:rFonts w:cs="Calibri"/>
        </w:rPr>
        <w:t>,</w:t>
      </w:r>
      <w:r w:rsidRPr="00DA05EA">
        <w:rPr>
          <w:rFonts w:cs="Calibri"/>
        </w:rPr>
        <w:t>411.19</w:t>
      </w:r>
    </w:p>
    <w:p w14:paraId="13B2CE16" w14:textId="77777777" w:rsidR="00344F71" w:rsidRPr="00344F71" w:rsidRDefault="00344F71"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3405C4C"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el municipio no tiene presupuesto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19ED7BC" w14:textId="77777777" w:rsidR="004B5B27" w:rsidRPr="00121681" w:rsidRDefault="004B5B27" w:rsidP="004B5B27">
      <w:pPr>
        <w:jc w:val="both"/>
        <w:rPr>
          <w:rFonts w:ascii="Arial" w:hAnsi="Arial" w:cs="Arial"/>
          <w:sz w:val="20"/>
          <w:szCs w:val="20"/>
        </w:rPr>
      </w:pPr>
      <w:r w:rsidRPr="00121681">
        <w:rPr>
          <w:rFonts w:ascii="Arial" w:hAnsi="Arial" w:cs="Arial"/>
          <w:sz w:val="20"/>
          <w:szCs w:val="20"/>
        </w:rPr>
        <w:t>El Municipio no cuenta con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1ABBCEB"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empresas de participación minoritaria.</w:t>
      </w:r>
    </w:p>
    <w:p w14:paraId="35A51839" w14:textId="73EDB7A9"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11FF47"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patrimonio de organismos descentralizados de control presupuestario directo.</w:t>
      </w:r>
    </w:p>
    <w:p w14:paraId="0FC59EEE" w14:textId="5B71929A"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lastRenderedPageBreak/>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BD5E9EF"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Programas y Convenios del Municipio</w:t>
      </w:r>
    </w:p>
    <w:p w14:paraId="5B2BCD7A" w14:textId="77777777" w:rsidR="0088145B" w:rsidRDefault="0088145B" w:rsidP="00CB41C4">
      <w:pPr>
        <w:tabs>
          <w:tab w:val="left" w:leader="underscore" w:pos="9639"/>
        </w:tabs>
        <w:spacing w:after="0" w:line="240" w:lineRule="auto"/>
        <w:jc w:val="both"/>
        <w:rPr>
          <w:rFonts w:cs="Calibri"/>
          <w:b/>
        </w:rPr>
      </w:pPr>
    </w:p>
    <w:p w14:paraId="326C2254" w14:textId="087066F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584770B" w14:textId="77777777" w:rsidR="0088145B" w:rsidRPr="00E74967" w:rsidRDefault="0088145B" w:rsidP="0088145B">
      <w:pPr>
        <w:tabs>
          <w:tab w:val="left" w:leader="underscore" w:pos="9639"/>
        </w:tabs>
        <w:spacing w:after="0" w:line="240" w:lineRule="auto"/>
        <w:jc w:val="both"/>
        <w:rPr>
          <w:rFonts w:cs="Calibri"/>
        </w:rPr>
      </w:pPr>
      <w:r>
        <w:rPr>
          <w:rFonts w:cs="Calibri"/>
        </w:rPr>
        <w:t>No aplica ya que el Municipio no cuenta con Fideicomiso.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1370266F" w:rsidR="007D1E76" w:rsidRDefault="0088145B" w:rsidP="00CB41C4">
      <w:pPr>
        <w:tabs>
          <w:tab w:val="left" w:leader="underscore" w:pos="9639"/>
        </w:tabs>
        <w:spacing w:after="0" w:line="240" w:lineRule="auto"/>
        <w:jc w:val="both"/>
        <w:rPr>
          <w:rFonts w:cs="Calibri"/>
        </w:rPr>
      </w:pPr>
      <w:r>
        <w:rPr>
          <w:rFonts w:cs="Calibri"/>
        </w:rPr>
        <w:t>Con fecha del 31 de diciembre de 2025 se tiene el porcentaje de recaudación con respecto a lo aprobado en el presupuesto de ingresos para el ejercicio fiscal 2025</w:t>
      </w:r>
    </w:p>
    <w:p w14:paraId="11326E09" w14:textId="1F4CD37F" w:rsidR="000A2034" w:rsidRPr="00121681" w:rsidRDefault="000A2034" w:rsidP="000A2034">
      <w:pPr>
        <w:tabs>
          <w:tab w:val="left" w:leader="underscore" w:pos="9639"/>
        </w:tabs>
        <w:spacing w:after="0" w:line="240" w:lineRule="auto"/>
        <w:jc w:val="both"/>
        <w:rPr>
          <w:rFonts w:ascii="Arial" w:hAnsi="Arial" w:cs="Arial"/>
          <w:sz w:val="20"/>
          <w:szCs w:val="20"/>
        </w:rPr>
      </w:pPr>
      <w:r w:rsidRPr="00CE3289">
        <w:rPr>
          <w:rFonts w:ascii="Arial" w:hAnsi="Arial" w:cs="Arial"/>
          <w:sz w:val="20"/>
          <w:szCs w:val="20"/>
        </w:rPr>
        <w:t xml:space="preserve">Impuestos </w:t>
      </w:r>
      <w:r>
        <w:rPr>
          <w:rFonts w:ascii="Arial" w:hAnsi="Arial" w:cs="Arial"/>
          <w:sz w:val="20"/>
          <w:szCs w:val="20"/>
        </w:rPr>
        <w:t>103</w:t>
      </w:r>
      <w:r w:rsidRPr="00CE3289">
        <w:rPr>
          <w:rFonts w:ascii="Arial" w:hAnsi="Arial" w:cs="Arial"/>
          <w:sz w:val="20"/>
          <w:szCs w:val="20"/>
        </w:rPr>
        <w:t>%, contribuciones de mejora</w:t>
      </w:r>
      <w:r>
        <w:rPr>
          <w:rFonts w:ascii="Arial" w:hAnsi="Arial" w:cs="Arial"/>
          <w:sz w:val="20"/>
          <w:szCs w:val="20"/>
        </w:rPr>
        <w:t xml:space="preserve"> 0</w:t>
      </w:r>
      <w:r w:rsidRPr="00CE3289">
        <w:rPr>
          <w:rFonts w:ascii="Arial" w:hAnsi="Arial" w:cs="Arial"/>
          <w:sz w:val="20"/>
          <w:szCs w:val="20"/>
        </w:rPr>
        <w:t xml:space="preserve">%, derechos </w:t>
      </w:r>
      <w:r>
        <w:rPr>
          <w:rFonts w:ascii="Arial" w:hAnsi="Arial" w:cs="Arial"/>
          <w:sz w:val="20"/>
          <w:szCs w:val="20"/>
        </w:rPr>
        <w:t>83</w:t>
      </w:r>
      <w:r w:rsidRPr="00CE3289">
        <w:rPr>
          <w:rFonts w:ascii="Arial" w:hAnsi="Arial" w:cs="Arial"/>
          <w:sz w:val="20"/>
          <w:szCs w:val="20"/>
        </w:rPr>
        <w:t xml:space="preserve">%, productos </w:t>
      </w:r>
      <w:r>
        <w:rPr>
          <w:rFonts w:ascii="Arial" w:hAnsi="Arial" w:cs="Arial"/>
          <w:sz w:val="20"/>
          <w:szCs w:val="20"/>
        </w:rPr>
        <w:t>86</w:t>
      </w:r>
      <w:r w:rsidRPr="00CE3289">
        <w:rPr>
          <w:rFonts w:ascii="Arial" w:hAnsi="Arial" w:cs="Arial"/>
          <w:sz w:val="20"/>
          <w:szCs w:val="20"/>
        </w:rPr>
        <w:t xml:space="preserve">% aprovechamientos </w:t>
      </w:r>
      <w:r>
        <w:rPr>
          <w:rFonts w:ascii="Arial" w:hAnsi="Arial" w:cs="Arial"/>
          <w:sz w:val="20"/>
          <w:szCs w:val="20"/>
        </w:rPr>
        <w:t>285</w:t>
      </w:r>
      <w:r w:rsidRPr="00CE3289">
        <w:rPr>
          <w:rFonts w:ascii="Arial" w:hAnsi="Arial" w:cs="Arial"/>
          <w:sz w:val="20"/>
          <w:szCs w:val="20"/>
        </w:rPr>
        <w:t xml:space="preserve">%, </w:t>
      </w:r>
      <w:r w:rsidRPr="000A2034">
        <w:rPr>
          <w:rFonts w:ascii="Arial" w:hAnsi="Arial" w:cs="Arial"/>
          <w:sz w:val="20"/>
          <w:szCs w:val="20"/>
        </w:rPr>
        <w:t>Participaciones, Aportaciones, Convenios, Incentivos Derivados de la Colaboración Fiscal y Fondos Distintos de Aportaciones</w:t>
      </w:r>
      <w:r>
        <w:rPr>
          <w:rFonts w:ascii="Arial" w:hAnsi="Arial" w:cs="Arial"/>
          <w:sz w:val="20"/>
          <w:szCs w:val="20"/>
        </w:rPr>
        <w:t xml:space="preserve"> 93</w:t>
      </w:r>
      <w:r w:rsidRPr="00CE3289">
        <w:rPr>
          <w:rFonts w:ascii="Arial" w:hAnsi="Arial" w:cs="Arial"/>
          <w:sz w:val="20"/>
          <w:szCs w:val="20"/>
        </w:rPr>
        <w:t xml:space="preserve">%, Transferencias, Asignaciones, Subsidios y Subvenciones, y Pensiones y Jubilaciones </w:t>
      </w:r>
      <w:r>
        <w:rPr>
          <w:rFonts w:ascii="Arial" w:hAnsi="Arial" w:cs="Arial"/>
          <w:sz w:val="20"/>
          <w:szCs w:val="20"/>
        </w:rPr>
        <w:t>59</w:t>
      </w:r>
      <w:r w:rsidRPr="00CE3289">
        <w:rPr>
          <w:rFonts w:ascii="Arial" w:hAnsi="Arial" w:cs="Arial"/>
          <w:sz w:val="20"/>
          <w:szCs w:val="20"/>
        </w:rPr>
        <w:t>%.</w:t>
      </w:r>
    </w:p>
    <w:p w14:paraId="507F1CD5" w14:textId="77777777" w:rsidR="0088145B" w:rsidRPr="00E74967" w:rsidRDefault="0088145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4EB94818" w:rsidR="007D1E76" w:rsidRPr="000A2034" w:rsidRDefault="000A2034"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Por lo que respecta a los ingresos propios se proyecta una recaudación exitosa de acuerdo a lo presupuestado entre lo recaudado y lo modificado.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BA54F89" w14:textId="77777777" w:rsidR="000A2034" w:rsidRPr="00AB798A" w:rsidRDefault="000A2034" w:rsidP="000A2034">
      <w:pPr>
        <w:tabs>
          <w:tab w:val="left" w:leader="underscore" w:pos="9639"/>
        </w:tabs>
        <w:spacing w:after="0" w:line="240" w:lineRule="auto"/>
        <w:jc w:val="both"/>
        <w:rPr>
          <w:rFonts w:asciiTheme="minorHAnsi" w:hAnsiTheme="minorHAnsi" w:cstheme="minorHAnsi"/>
        </w:rPr>
      </w:pPr>
      <w:r w:rsidRPr="009A3BAA">
        <w:rPr>
          <w:rFonts w:asciiTheme="minorHAnsi" w:hAnsiTheme="minorHAnsi" w:cstheme="minorHAnsi"/>
        </w:rPr>
        <w:t>El Municipio no cuenta con</w:t>
      </w:r>
      <w:r>
        <w:rPr>
          <w:rFonts w:asciiTheme="minorHAnsi" w:hAnsiTheme="minorHAnsi" w:cstheme="minorHAnsi"/>
        </w:rPr>
        <w:t xml:space="preserve"> este tipo de</w:t>
      </w:r>
      <w:r w:rsidRPr="009A3BAA">
        <w:rPr>
          <w:rFonts w:asciiTheme="minorHAnsi" w:hAnsiTheme="minorHAnsi" w:cstheme="minorHAnsi"/>
        </w:rPr>
        <w:t xml:space="preserve">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BCAFCED" w14:textId="1978C94A" w:rsidR="000A2034" w:rsidRPr="000A2034" w:rsidRDefault="000A2034" w:rsidP="000A2034">
      <w:pPr>
        <w:spacing w:after="0" w:line="240" w:lineRule="auto"/>
        <w:jc w:val="both"/>
        <w:rPr>
          <w:rFonts w:eastAsia="Times New Roman" w:cs="Calibri"/>
          <w:color w:val="000000"/>
          <w:lang w:eastAsia="es-MX"/>
        </w:rPr>
      </w:pPr>
      <w:r w:rsidRPr="00121681">
        <w:rPr>
          <w:rFonts w:ascii="Arial" w:hAnsi="Arial" w:cs="Arial"/>
          <w:sz w:val="20"/>
          <w:szCs w:val="20"/>
        </w:rPr>
        <w:t>En Municipio contrato la apertur</w:t>
      </w:r>
      <w:r>
        <w:rPr>
          <w:rFonts w:ascii="Arial" w:hAnsi="Arial" w:cs="Arial"/>
          <w:sz w:val="20"/>
          <w:szCs w:val="20"/>
        </w:rPr>
        <w:t>a de un crédito simple por $15,</w:t>
      </w:r>
      <w:r w:rsidRPr="00121681">
        <w:rPr>
          <w:rFonts w:ascii="Arial" w:hAnsi="Arial" w:cs="Arial"/>
          <w:sz w:val="20"/>
          <w:szCs w:val="20"/>
        </w:rPr>
        <w:t>000,000.00 (quince millones de pesos 00/100M.N.) en</w:t>
      </w:r>
      <w:r>
        <w:rPr>
          <w:rFonts w:ascii="Arial" w:hAnsi="Arial" w:cs="Arial"/>
          <w:sz w:val="20"/>
          <w:szCs w:val="20"/>
        </w:rPr>
        <w:t xml:space="preserve"> el mes de septiembre 2018 al 31 de diciembre</w:t>
      </w:r>
      <w:r w:rsidRPr="00121681">
        <w:rPr>
          <w:rFonts w:ascii="Arial" w:hAnsi="Arial" w:cs="Arial"/>
          <w:sz w:val="20"/>
          <w:szCs w:val="20"/>
        </w:rPr>
        <w:t xml:space="preserve"> </w:t>
      </w:r>
      <w:r>
        <w:rPr>
          <w:rFonts w:ascii="Arial" w:hAnsi="Arial" w:cs="Arial"/>
          <w:sz w:val="20"/>
          <w:szCs w:val="20"/>
        </w:rPr>
        <w:t>se han amortizado en capital $</w:t>
      </w:r>
      <w:r>
        <w:rPr>
          <w:rFonts w:eastAsia="Times New Roman" w:cs="Calibri"/>
          <w:color w:val="000000"/>
          <w:lang w:eastAsia="es-MX"/>
        </w:rPr>
        <w:t xml:space="preserve"> </w:t>
      </w:r>
      <w:r w:rsidRPr="000A2034">
        <w:rPr>
          <w:rFonts w:eastAsia="Times New Roman" w:cs="Calibri"/>
          <w:color w:val="000000"/>
          <w:lang w:eastAsia="es-MX"/>
        </w:rPr>
        <w:t xml:space="preserve">  11,383,928.45 </w:t>
      </w:r>
    </w:p>
    <w:p w14:paraId="6D9EE6AC" w14:textId="4C7A6D0E" w:rsidR="000A2034" w:rsidRPr="00052EC8" w:rsidRDefault="000A2034" w:rsidP="000A2034">
      <w:pPr>
        <w:tabs>
          <w:tab w:val="left" w:leader="underscore" w:pos="9639"/>
        </w:tabs>
        <w:spacing w:after="0" w:line="240" w:lineRule="auto"/>
        <w:jc w:val="both"/>
        <w:rPr>
          <w:rFonts w:ascii="Arial" w:hAnsi="Arial" w:cs="Arial"/>
          <w:sz w:val="20"/>
          <w:szCs w:val="20"/>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3CEE8A9"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Estandarizar, asegurar y controlar el cumplimiento de la rutina de trabajo de cada Dirección.</w:t>
      </w:r>
    </w:p>
    <w:p w14:paraId="73C07621"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 xml:space="preserve">Simplificar la operatividad de cada Dirección al contar con sus Procesos Clave definidos y documentados. </w:t>
      </w:r>
    </w:p>
    <w:p w14:paraId="3980CEEB"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Facilitar el Control y Seguimiento de Procesos Clave.</w:t>
      </w:r>
    </w:p>
    <w:p w14:paraId="1D8EDBD3"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Delimitar las funciones y responsabilidades de cada uno de los puestos que integran cada Dirección.</w:t>
      </w:r>
    </w:p>
    <w:p w14:paraId="0C93E7F3"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La Coordinación de actividades para evitar duplicidad de funciones.</w:t>
      </w:r>
    </w:p>
    <w:p w14:paraId="213614E5" w14:textId="77777777" w:rsidR="000A2034" w:rsidRPr="00121681" w:rsidRDefault="000A2034" w:rsidP="000A2034">
      <w:pPr>
        <w:tabs>
          <w:tab w:val="left" w:leader="underscore" w:pos="9639"/>
        </w:tabs>
        <w:spacing w:after="0" w:line="240" w:lineRule="auto"/>
        <w:jc w:val="both"/>
        <w:rPr>
          <w:rFonts w:ascii="Arial" w:hAnsi="Arial" w:cs="Arial"/>
          <w:sz w:val="20"/>
          <w:szCs w:val="20"/>
        </w:rPr>
      </w:pPr>
      <w:r w:rsidRPr="00121681">
        <w:rPr>
          <w:rFonts w:ascii="Arial" w:eastAsia="Times New Roman" w:hAnsi="Arial" w:cs="Arial"/>
          <w:bCs/>
          <w:iCs/>
          <w:sz w:val="20"/>
          <w:szCs w:val="20"/>
          <w:lang w:val="es-ES" w:eastAsia="es-ES"/>
        </w:rPr>
        <w:t>La Inducción al puesto y adiestramiento del personal de nuevo ingreso.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190615" w14:textId="77777777" w:rsidR="000A2034" w:rsidRPr="00121681" w:rsidRDefault="000A2034" w:rsidP="000A203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Medidas de desempeño financiero, metas y alcance son evaluadas a través del Estado del Gasto Presupuestal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6FC3FCA6"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0A2034">
        <w:rPr>
          <w:rFonts w:cs="Calibri"/>
        </w:rPr>
        <w:t xml:space="preserve">El Municipio de Valle de Santiago no </w:t>
      </w:r>
      <w:r w:rsidR="007270AB">
        <w:rPr>
          <w:rFonts w:cs="Calibri"/>
        </w:rPr>
        <w:t>se han detectado inconsistencias.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DFA2595" w14:textId="77777777" w:rsidR="007270AB" w:rsidRPr="00121681" w:rsidRDefault="007270AB" w:rsidP="007270A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C77C9F0" w:rsidR="0012405A" w:rsidRDefault="0012405A">
        <w:pPr>
          <w:pStyle w:val="Piedepgina"/>
          <w:jc w:val="right"/>
        </w:pPr>
        <w:r>
          <w:fldChar w:fldCharType="begin"/>
        </w:r>
        <w:r>
          <w:instrText>PAGE   \* MERGEFORMAT</w:instrText>
        </w:r>
        <w:r>
          <w:fldChar w:fldCharType="separate"/>
        </w:r>
        <w:r w:rsidR="00A765AA" w:rsidRPr="00A765AA">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385A18FE" w:rsidR="00154BA3" w:rsidRDefault="00A765AA" w:rsidP="00A4610E">
    <w:pPr>
      <w:pStyle w:val="Encabezado"/>
      <w:spacing w:after="0" w:line="240" w:lineRule="auto"/>
      <w:jc w:val="center"/>
    </w:pPr>
    <w:r w:rsidRPr="00A765AA">
      <w:t xml:space="preserve">Municipio de Valle de Santiago, </w:t>
    </w:r>
    <w:proofErr w:type="spellStart"/>
    <w:r w:rsidRPr="00A765AA">
      <w:t>Gto</w:t>
    </w:r>
    <w:proofErr w:type="spellEnd"/>
    <w:r w:rsidRPr="00A765AA">
      <w:t>.</w:t>
    </w:r>
  </w:p>
  <w:p w14:paraId="651A4C4F" w14:textId="6E785ACB" w:rsidR="00A4610E" w:rsidRDefault="00A765AA" w:rsidP="00A765AA">
    <w:pPr>
      <w:pStyle w:val="Encabezado"/>
      <w:spacing w:after="0" w:line="240" w:lineRule="auto"/>
      <w:jc w:val="center"/>
    </w:pPr>
    <w:r>
      <w:t>Correspondientes d</w:t>
    </w:r>
    <w:r w:rsidRPr="00A765AA">
      <w:t xml:space="preserve">el 1 de </w:t>
    </w:r>
    <w:proofErr w:type="gramStart"/>
    <w:r w:rsidRPr="00A765AA">
      <w:t>Enero</w:t>
    </w:r>
    <w:proofErr w:type="gramEnd"/>
    <w:r w:rsidRPr="00A765AA">
      <w:t xml:space="preserve"> al 31 de Diciembre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2034"/>
    <w:rsid w:val="000B7810"/>
    <w:rsid w:val="000C3365"/>
    <w:rsid w:val="00106EE9"/>
    <w:rsid w:val="0012405A"/>
    <w:rsid w:val="0012493A"/>
    <w:rsid w:val="0013392D"/>
    <w:rsid w:val="00154BA3"/>
    <w:rsid w:val="001973A2"/>
    <w:rsid w:val="001C34BC"/>
    <w:rsid w:val="001C710C"/>
    <w:rsid w:val="001C75F2"/>
    <w:rsid w:val="001D2063"/>
    <w:rsid w:val="001D43E9"/>
    <w:rsid w:val="00231FBE"/>
    <w:rsid w:val="00232175"/>
    <w:rsid w:val="0024740E"/>
    <w:rsid w:val="002722DD"/>
    <w:rsid w:val="00295B72"/>
    <w:rsid w:val="00344F71"/>
    <w:rsid w:val="003453CA"/>
    <w:rsid w:val="00396D53"/>
    <w:rsid w:val="003E6C64"/>
    <w:rsid w:val="0043078C"/>
    <w:rsid w:val="00435A87"/>
    <w:rsid w:val="004A1077"/>
    <w:rsid w:val="004A58C8"/>
    <w:rsid w:val="004B5B27"/>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270AB"/>
    <w:rsid w:val="007610BC"/>
    <w:rsid w:val="007714AB"/>
    <w:rsid w:val="00785AD9"/>
    <w:rsid w:val="007D1E76"/>
    <w:rsid w:val="007D4484"/>
    <w:rsid w:val="007E38A2"/>
    <w:rsid w:val="007F699D"/>
    <w:rsid w:val="00806269"/>
    <w:rsid w:val="0086420E"/>
    <w:rsid w:val="0086459F"/>
    <w:rsid w:val="0088145B"/>
    <w:rsid w:val="008C3BB8"/>
    <w:rsid w:val="008E076C"/>
    <w:rsid w:val="0092765C"/>
    <w:rsid w:val="00967DDA"/>
    <w:rsid w:val="009736CB"/>
    <w:rsid w:val="00A4610E"/>
    <w:rsid w:val="00A6346D"/>
    <w:rsid w:val="00A730E0"/>
    <w:rsid w:val="00A765AA"/>
    <w:rsid w:val="00AA2768"/>
    <w:rsid w:val="00AA41E5"/>
    <w:rsid w:val="00AB722B"/>
    <w:rsid w:val="00AE1F6A"/>
    <w:rsid w:val="00AF4375"/>
    <w:rsid w:val="00B073DE"/>
    <w:rsid w:val="00B6368B"/>
    <w:rsid w:val="00B668D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05EA"/>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elements/1.1/"/>
    <ds:schemaRef ds:uri="0c865bf4-0f22-4e4d-b041-7b0c1657e5a8"/>
    <ds:schemaRef ds:uri="http://purl.org/dc/dcmitype/"/>
    <ds:schemaRef ds:uri="6aa8a68a-ab09-4ac8-a697-fdce915bc567"/>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E3937-EB4C-4F2B-A4F8-8826E09F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3398</Words>
  <Characters>18693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22047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Belinda</cp:lastModifiedBy>
  <cp:revision>5</cp:revision>
  <dcterms:created xsi:type="dcterms:W3CDTF">2026-02-04T22:21:00Z</dcterms:created>
  <dcterms:modified xsi:type="dcterms:W3CDTF">2026-02-06T00:57:00Z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